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2076D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附件</w:t>
      </w:r>
      <w:r>
        <w:rPr>
          <w:rFonts w:hint="eastAsia" w:ascii="Times New Roman" w:hAnsi="Times New Roman" w:eastAsia="仿宋_GB2312" w:cs="Times New Roman"/>
          <w:sz w:val="32"/>
          <w:szCs w:val="32"/>
          <w:lang w:val="en-US" w:eastAsia="zh-CN"/>
        </w:rPr>
        <w:t>3</w:t>
      </w:r>
    </w:p>
    <w:p w14:paraId="0264C6D7">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default" w:ascii="Times New Roman" w:hAnsi="Times New Roman" w:eastAsia="仿宋_GB2312" w:cs="Times New Roman"/>
          <w:color w:val="000000"/>
          <w:sz w:val="32"/>
          <w:szCs w:val="32"/>
          <w:lang w:val="en-US" w:eastAsia="zh-CN"/>
        </w:rPr>
      </w:pPr>
    </w:p>
    <w:p w14:paraId="67FA166F">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方正小标宋简体" w:hAnsi="方正小标宋简体" w:eastAsia="方正小标宋简体" w:cs="方正小标宋简体"/>
          <w:color w:val="000000"/>
          <w:sz w:val="32"/>
          <w:szCs w:val="32"/>
          <w:lang w:val="en-US" w:eastAsia="zh-CN"/>
        </w:rPr>
      </w:pPr>
      <w:r>
        <w:rPr>
          <w:rFonts w:hint="eastAsia" w:ascii="方正小标宋简体" w:hAnsi="方正小标宋简体" w:eastAsia="方正小标宋简体" w:cs="方正小标宋简体"/>
          <w:color w:val="000000"/>
          <w:sz w:val="32"/>
          <w:szCs w:val="32"/>
          <w:lang w:val="en-US" w:eastAsia="zh-CN"/>
        </w:rPr>
        <w:t>江苏省职业院校技能大赛获奖选手成长案例模版</w:t>
      </w:r>
    </w:p>
    <w:p w14:paraId="38A2C15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right="0"/>
        <w:textAlignment w:val="auto"/>
        <w:rPr>
          <w:rFonts w:hint="eastAsia" w:ascii="黑体" w:hAnsi="黑体" w:eastAsia="黑体" w:cs="黑体"/>
          <w:color w:val="000000"/>
          <w:sz w:val="32"/>
          <w:szCs w:val="32"/>
        </w:rPr>
      </w:pPr>
    </w:p>
    <w:p w14:paraId="6BAC49B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right="0" w:firstLine="643" w:firstLineChars="200"/>
        <w:textAlignment w:val="auto"/>
        <w:rPr>
          <w:rFonts w:hint="default" w:ascii="Times New Roman" w:hAnsi="Times New Roman" w:eastAsia="仿宋_GB2312" w:cs="Times New Roman"/>
          <w:color w:val="000000"/>
          <w:sz w:val="32"/>
          <w:szCs w:val="32"/>
        </w:rPr>
      </w:pPr>
      <w:r>
        <w:rPr>
          <w:rFonts w:hint="eastAsia" w:ascii="黑体" w:hAnsi="黑体" w:eastAsia="黑体" w:cs="黑体"/>
          <w:color w:val="000000"/>
          <w:sz w:val="32"/>
          <w:szCs w:val="32"/>
        </w:rPr>
        <w:t>一、总体要求</w:t>
      </w:r>
    </w:p>
    <w:p w14:paraId="6115D690">
      <w:pPr>
        <w:ind w:firstLine="640" w:firstLineChars="20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lang w:val="en-US" w:eastAsia="zh-CN"/>
        </w:rPr>
        <w:t>字数1500—2000字左右，结构统一、段落均衡，杜绝流水账、空洞抒情。</w:t>
      </w:r>
    </w:p>
    <w:p w14:paraId="0BB4E12C">
      <w:pPr>
        <w:ind w:firstLine="640" w:firstLineChars="20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lang w:val="en-US" w:eastAsia="zh-CN"/>
        </w:rPr>
        <w:t>案例撰写应完整呈现选手“入校—专业积淀—备赛淬炼—赛场获奖—赛后发展”全成长轨迹，突出成长过程的阶段性与递进性。各阶段应重点围绕选手个人成长主线展开，注重前后对比，真实反映选手从技能入门到技能精进、从青涩懵懂到成熟自信的蜕变过程，充分体现技能大赛对选手综合素质提升的深远影响。其中，“赛后发展”部分应重点着墨，围绕选手毕业后（或当前阶段）的学业深造、职业晋升、岗位贡献、社会服务等方面，交代选手的持续成长路径与最新发展动态，体现大赛经历对选手长期职业生涯发展的延续性影响和关键性作用。案例应力求见人见事见成长，增强案例的可读性和感染力。</w:t>
      </w:r>
    </w:p>
    <w:p w14:paraId="505AF238">
      <w:pPr>
        <w:ind w:firstLine="640" w:firstLineChars="20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val="en-US" w:eastAsia="zh-CN"/>
        </w:rPr>
        <w:t>全过程成长细节</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可核验标志性成果</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学生感悟</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指导教师感悟，四项缺一不可。</w:t>
      </w:r>
    </w:p>
    <w:p w14:paraId="684B150C">
      <w:pPr>
        <w:ind w:firstLine="640" w:firstLineChars="20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纪实客观、励志正向，所有经历、奖项、成果真实可追溯，不得虚构夸大。</w:t>
      </w:r>
    </w:p>
    <w:p w14:paraId="53BAC7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643" w:firstLineChars="200"/>
        <w:rPr>
          <w:rFonts w:hint="eastAsia" w:ascii="楷体" w:hAnsi="楷体" w:eastAsia="楷体" w:cs="楷体"/>
          <w:color w:val="000000"/>
          <w:sz w:val="32"/>
          <w:szCs w:val="32"/>
          <w:lang w:val="en-US" w:eastAsia="zh-CN"/>
        </w:rPr>
      </w:pPr>
      <w:r>
        <w:rPr>
          <w:rFonts w:hint="eastAsia" w:ascii="黑体" w:hAnsi="黑体" w:eastAsia="黑体" w:cs="黑体"/>
          <w:color w:val="000000"/>
          <w:sz w:val="32"/>
          <w:szCs w:val="32"/>
          <w:lang w:val="en-US" w:eastAsia="zh-CN"/>
        </w:rPr>
        <w:t>二</w:t>
      </w:r>
      <w:r>
        <w:rPr>
          <w:rFonts w:hint="eastAsia" w:ascii="黑体" w:hAnsi="黑体" w:eastAsia="黑体" w:cs="黑体"/>
          <w:color w:val="000000"/>
          <w:sz w:val="32"/>
          <w:szCs w:val="32"/>
        </w:rPr>
        <w:t>、</w:t>
      </w:r>
      <w:r>
        <w:rPr>
          <w:rFonts w:hint="eastAsia" w:ascii="黑体" w:hAnsi="黑体" w:eastAsia="黑体" w:cs="黑体"/>
          <w:color w:val="000000"/>
          <w:sz w:val="32"/>
          <w:szCs w:val="32"/>
          <w:lang w:val="en-US" w:eastAsia="zh-CN"/>
        </w:rPr>
        <w:t>案例结构</w:t>
      </w:r>
      <w:bookmarkStart w:id="0" w:name="_GoBack"/>
      <w:bookmarkEnd w:id="0"/>
    </w:p>
    <w:p w14:paraId="63C5B8B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right="0" w:firstLine="640" w:firstLineChars="200"/>
        <w:textAlignment w:val="auto"/>
        <w:rPr>
          <w:rFonts w:hint="eastAsia" w:ascii="Times New Roman" w:hAnsi="Times New Roman" w:eastAsia="仿宋_GB2312" w:cs="Times New Roman"/>
          <w:b w:val="0"/>
          <w:bCs w:val="0"/>
          <w:color w:val="000000"/>
          <w:kern w:val="0"/>
          <w:sz w:val="32"/>
          <w:szCs w:val="32"/>
          <w:lang w:val="en-US" w:eastAsia="zh-CN" w:bidi="ar"/>
        </w:rPr>
      </w:pPr>
      <w:r>
        <w:rPr>
          <w:rFonts w:hint="eastAsia" w:ascii="Times New Roman" w:hAnsi="Times New Roman" w:eastAsia="仿宋_GB2312" w:cs="Times New Roman"/>
          <w:b w:val="0"/>
          <w:bCs w:val="0"/>
          <w:color w:val="000000"/>
          <w:kern w:val="0"/>
          <w:sz w:val="32"/>
          <w:szCs w:val="32"/>
          <w:lang w:val="en-US" w:eastAsia="zh-CN" w:bidi="ar"/>
        </w:rPr>
        <w:t>1.案例结构须完整体现成长链条，注重各阶段递进关系，避免跳跃。</w:t>
      </w:r>
    </w:p>
    <w:p w14:paraId="03C15E9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right="0" w:firstLine="640" w:firstLineChars="200"/>
        <w:textAlignment w:val="auto"/>
        <w:rPr>
          <w:rFonts w:hint="eastAsia" w:ascii="Times New Roman" w:hAnsi="Times New Roman" w:eastAsia="仿宋_GB2312" w:cs="Times New Roman"/>
          <w:b w:val="0"/>
          <w:bCs w:val="0"/>
          <w:color w:val="000000"/>
          <w:kern w:val="0"/>
          <w:sz w:val="32"/>
          <w:szCs w:val="32"/>
          <w:lang w:val="en-US" w:eastAsia="zh-CN" w:bidi="ar"/>
        </w:rPr>
      </w:pPr>
      <w:r>
        <w:rPr>
          <w:rFonts w:hint="eastAsia" w:ascii="Times New Roman" w:hAnsi="Times New Roman" w:eastAsia="仿宋_GB2312" w:cs="Times New Roman"/>
          <w:b w:val="0"/>
          <w:bCs w:val="0"/>
          <w:color w:val="000000"/>
          <w:kern w:val="0"/>
          <w:sz w:val="32"/>
          <w:szCs w:val="32"/>
          <w:lang w:val="en-US" w:eastAsia="zh-CN" w:bidi="ar"/>
        </w:rPr>
        <w:t>2.突出蜕变过程与细节，注重前后对比，通过具体训练瓶颈、攻坚举措、阶段性进步等细节，真实反映选手从青涩到自信的转变，突出竞赛对综合素质的实际提升。</w:t>
      </w:r>
    </w:p>
    <w:p w14:paraId="6B321CB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right="0" w:firstLine="640" w:firstLineChars="200"/>
        <w:textAlignment w:val="auto"/>
        <w:rPr>
          <w:rFonts w:hint="eastAsia" w:ascii="Times New Roman" w:hAnsi="Times New Roman" w:eastAsia="仿宋_GB2312" w:cs="Times New Roman"/>
          <w:b w:val="0"/>
          <w:bCs w:val="0"/>
          <w:color w:val="000000"/>
          <w:kern w:val="0"/>
          <w:sz w:val="32"/>
          <w:szCs w:val="32"/>
          <w:lang w:val="en-US" w:eastAsia="zh-CN" w:bidi="ar"/>
        </w:rPr>
      </w:pPr>
      <w:r>
        <w:rPr>
          <w:rFonts w:hint="eastAsia" w:ascii="Times New Roman" w:hAnsi="Times New Roman" w:eastAsia="仿宋_GB2312" w:cs="Times New Roman"/>
          <w:b w:val="0"/>
          <w:bCs w:val="0"/>
          <w:color w:val="000000"/>
          <w:kern w:val="0"/>
          <w:sz w:val="32"/>
          <w:szCs w:val="32"/>
          <w:lang w:val="en-US" w:eastAsia="zh-CN" w:bidi="ar"/>
        </w:rPr>
        <w:t>3.量化赛后成果，体现持续发展，赛后发展部分明确区分“综合素质成长”与“硬核标志性成果”，提供可佐证的量化成果（如升学、就业、专利、技能证书等）。</w:t>
      </w:r>
    </w:p>
    <w:p w14:paraId="24B6EAF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right="0" w:firstLine="640" w:firstLineChars="200"/>
        <w:textAlignment w:val="auto"/>
        <w:rPr>
          <w:rFonts w:hint="eastAsia" w:ascii="Times New Roman" w:hAnsi="Times New Roman" w:eastAsia="仿宋_GB2312" w:cs="Times New Roman"/>
          <w:b w:val="0"/>
          <w:bCs w:val="0"/>
          <w:color w:val="000000"/>
          <w:kern w:val="0"/>
          <w:sz w:val="32"/>
          <w:szCs w:val="32"/>
          <w:lang w:val="en-US" w:eastAsia="zh-CN" w:bidi="ar"/>
        </w:rPr>
      </w:pPr>
      <w:r>
        <w:rPr>
          <w:rFonts w:hint="eastAsia" w:ascii="Times New Roman" w:hAnsi="Times New Roman" w:eastAsia="仿宋_GB2312" w:cs="Times New Roman"/>
          <w:b w:val="0"/>
          <w:bCs w:val="0"/>
          <w:color w:val="000000"/>
          <w:kern w:val="0"/>
          <w:sz w:val="32"/>
          <w:szCs w:val="32"/>
          <w:lang w:val="en-US" w:eastAsia="zh-CN" w:bidi="ar"/>
        </w:rPr>
        <w:t>4.紧扣结构框架，注重育人启示，重点落脚于竞赛对选手长期职业生涯的深远影响及可推广的育人经验。</w:t>
      </w:r>
    </w:p>
    <w:p w14:paraId="316401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643" w:firstLineChars="200"/>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三</w:t>
      </w:r>
      <w:r>
        <w:rPr>
          <w:rFonts w:hint="default" w:ascii="黑体" w:hAnsi="黑体" w:eastAsia="黑体" w:cs="黑体"/>
          <w:color w:val="000000"/>
          <w:sz w:val="32"/>
          <w:szCs w:val="32"/>
          <w:lang w:val="en-US" w:eastAsia="zh-CN"/>
        </w:rPr>
        <w:t>、</w:t>
      </w:r>
      <w:r>
        <w:rPr>
          <w:rFonts w:hint="eastAsia" w:ascii="黑体" w:hAnsi="黑体" w:eastAsia="黑体" w:cs="黑体"/>
          <w:color w:val="000000"/>
          <w:sz w:val="32"/>
          <w:szCs w:val="32"/>
          <w:lang w:val="en-US" w:eastAsia="zh-CN"/>
        </w:rPr>
        <w:t>注意事项</w:t>
      </w:r>
    </w:p>
    <w:p w14:paraId="72CCE2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1.</w:t>
      </w:r>
      <w:r>
        <w:rPr>
          <w:rFonts w:hint="default" w:ascii="Times New Roman" w:hAnsi="Times New Roman" w:eastAsia="仿宋_GB2312" w:cs="Times New Roman"/>
          <w:color w:val="000000"/>
          <w:kern w:val="0"/>
          <w:sz w:val="32"/>
          <w:szCs w:val="32"/>
          <w:lang w:val="en-US" w:eastAsia="zh-CN" w:bidi="ar"/>
        </w:rPr>
        <w:t>无量化标志性成果、无完整成长轨迹对比；</w:t>
      </w:r>
    </w:p>
    <w:p w14:paraId="5FA258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2.</w:t>
      </w:r>
      <w:r>
        <w:rPr>
          <w:rFonts w:hint="default" w:ascii="Times New Roman" w:hAnsi="Times New Roman" w:eastAsia="仿宋_GB2312" w:cs="Times New Roman"/>
          <w:color w:val="000000"/>
          <w:kern w:val="0"/>
          <w:sz w:val="32"/>
          <w:szCs w:val="32"/>
          <w:lang w:val="en-US" w:eastAsia="zh-CN" w:bidi="ar"/>
        </w:rPr>
        <w:t>缺失学生感悟或指导教师感悟；</w:t>
      </w:r>
    </w:p>
    <w:p w14:paraId="0D911A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3.</w:t>
      </w:r>
      <w:r>
        <w:rPr>
          <w:rFonts w:hint="default" w:ascii="Times New Roman" w:hAnsi="Times New Roman" w:eastAsia="仿宋_GB2312" w:cs="Times New Roman"/>
          <w:color w:val="000000"/>
          <w:kern w:val="0"/>
          <w:sz w:val="32"/>
          <w:szCs w:val="32"/>
          <w:lang w:val="en-US" w:eastAsia="zh-CN" w:bidi="ar"/>
        </w:rPr>
        <w:t>内容空洞、套话堆砌、虚构奖项与成长经历</w:t>
      </w:r>
      <w:r>
        <w:rPr>
          <w:rFonts w:hint="eastAsia" w:ascii="Times New Roman" w:hAnsi="Times New Roman" w:eastAsia="仿宋_GB2312" w:cs="Times New Roman"/>
          <w:color w:val="000000"/>
          <w:kern w:val="0"/>
          <w:sz w:val="32"/>
          <w:szCs w:val="32"/>
          <w:lang w:val="en-US" w:eastAsia="zh-CN" w:bidi="ar"/>
        </w:rPr>
        <w:t>。</w:t>
      </w:r>
    </w:p>
    <w:p w14:paraId="628C8956">
      <w:pPr>
        <w:rPr>
          <w:rFonts w:hint="default" w:ascii="Times New Roman" w:hAnsi="Times New Roman" w:eastAsia="仿宋_GB2312" w:cs="Times New Roman"/>
          <w:sz w:val="32"/>
          <w:szCs w:val="32"/>
        </w:rPr>
      </w:pPr>
    </w:p>
    <w:sectPr>
      <w:pgSz w:w="11906" w:h="16838"/>
      <w:pgMar w:top="1984"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0738B3"/>
    <w:rsid w:val="1A861B38"/>
    <w:rsid w:val="1C6E1C1A"/>
    <w:rsid w:val="246A716A"/>
    <w:rsid w:val="27BB6866"/>
    <w:rsid w:val="33EA2896"/>
    <w:rsid w:val="3D18555E"/>
    <w:rsid w:val="3D9F13EE"/>
    <w:rsid w:val="488A41C2"/>
    <w:rsid w:val="4DA049DF"/>
    <w:rsid w:val="54224ABC"/>
    <w:rsid w:val="608A7C71"/>
    <w:rsid w:val="63A4729C"/>
    <w:rsid w:val="7B635FB0"/>
    <w:rsid w:val="7B641393"/>
    <w:rsid w:val="7FB63A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Normal (Web)"/>
    <w:basedOn w:val="1"/>
    <w:uiPriority w:val="0"/>
    <w:rPr>
      <w:sz w:val="24"/>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774</Words>
  <Characters>793</Characters>
  <Lines>0</Lines>
  <Paragraphs>0</Paragraphs>
  <TotalTime>14</TotalTime>
  <ScaleCrop>false</ScaleCrop>
  <LinksUpToDate>false</LinksUpToDate>
  <CharactersWithSpaces>795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2026-06-29T07:51:00Z</dcterms:created>
  <dc:creator>Lenovo</dc:creator>
  <cp:lastModifiedBy>王一一</cp:lastModifiedBy>
  <dcterms:modified xsi:type="dcterms:W3CDTF">2026-07-09T08:28:53Z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eyJoZGlkIjoiMDk3Nzc0ZGYxZjFkN2MwY2M5MjQyMjI0OWUzMDBiMWQiLCJ1c2VySWQiOiIyOTY0NzY5NjIifQ==</vt:lpwstr>
  </property>
  <property fmtid="{D5CDD505-2E9C-101B-9397-08002B2CF9AE}" pid="4" name="ICV">
    <vt:lpwstr>58860A1BFFC54571B7B0BBDBF8480F91_12</vt:lpwstr>
  </property>
</Properties>
</file>