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CA81D">
      <w:pPr>
        <w:jc w:val="left"/>
        <w:rPr>
          <w:rFonts w:hint="eastAsia" w:ascii="黑体" w:hAnsi="黑体" w:eastAsia="黑体"/>
          <w:snapToGrid w:val="0"/>
          <w:kern w:val="0"/>
          <w:sz w:val="32"/>
          <w:szCs w:val="22"/>
          <w:lang w:eastAsia="zh-CN"/>
        </w:rPr>
      </w:pPr>
      <w:r>
        <w:rPr>
          <w:rFonts w:hint="eastAsia" w:ascii="黑体" w:hAnsi="黑体" w:eastAsia="黑体"/>
          <w:snapToGrid w:val="0"/>
          <w:kern w:val="0"/>
          <w:sz w:val="32"/>
          <w:szCs w:val="22"/>
        </w:rPr>
        <w:t>附件</w:t>
      </w:r>
      <w:r>
        <w:rPr>
          <w:rFonts w:hint="eastAsia" w:ascii="黑体" w:hAnsi="黑体" w:eastAsia="黑体"/>
          <w:snapToGrid w:val="0"/>
          <w:kern w:val="0"/>
          <w:sz w:val="32"/>
          <w:szCs w:val="22"/>
          <w:lang w:val="en-US" w:eastAsia="zh-CN"/>
        </w:rPr>
        <w:t>1</w:t>
      </w:r>
    </w:p>
    <w:p w14:paraId="3AC6FFBD">
      <w:pPr>
        <w:jc w:val="left"/>
        <w:rPr>
          <w:rFonts w:ascii="宋体" w:hAnsi="宋体"/>
          <w:sz w:val="24"/>
        </w:rPr>
      </w:pPr>
    </w:p>
    <w:p w14:paraId="0E4FFD4D">
      <w:pPr>
        <w:jc w:val="left"/>
        <w:rPr>
          <w:rFonts w:ascii="宋体" w:hAnsi="宋体"/>
          <w:sz w:val="24"/>
        </w:rPr>
      </w:pPr>
    </w:p>
    <w:p w14:paraId="552D02B9">
      <w:pPr>
        <w:jc w:val="left"/>
        <w:rPr>
          <w:rFonts w:ascii="宋体" w:hAnsi="宋体"/>
          <w:sz w:val="24"/>
        </w:rPr>
      </w:pPr>
    </w:p>
    <w:p w14:paraId="16D80D8A">
      <w:pPr>
        <w:jc w:val="left"/>
        <w:rPr>
          <w:rFonts w:ascii="宋体" w:hAnsi="宋体"/>
          <w:sz w:val="24"/>
        </w:rPr>
      </w:pPr>
    </w:p>
    <w:p w14:paraId="2A1A27C4">
      <w:pPr>
        <w:jc w:val="left"/>
        <w:rPr>
          <w:rFonts w:ascii="宋体" w:hAnsi="宋体"/>
          <w:sz w:val="24"/>
        </w:rPr>
      </w:pPr>
    </w:p>
    <w:p w14:paraId="71A106CB">
      <w:pPr>
        <w:jc w:val="center"/>
        <w:rPr>
          <w:rFonts w:hint="eastAsia" w:ascii="方正小标宋简体" w:hAnsi="宋体" w:eastAsia="方正小标宋简体" w:cs="黑体"/>
          <w:bCs/>
          <w:w w:val="85"/>
          <w:sz w:val="52"/>
          <w:szCs w:val="52"/>
          <w:lang w:val="en-US" w:eastAsia="zh-CN"/>
        </w:rPr>
      </w:pPr>
      <w:r>
        <w:rPr>
          <w:rFonts w:hint="eastAsia" w:ascii="方正小标宋简体" w:hAnsi="宋体" w:eastAsia="方正小标宋简体" w:cs="黑体"/>
          <w:bCs/>
          <w:w w:val="85"/>
          <w:sz w:val="52"/>
          <w:szCs w:val="52"/>
        </w:rPr>
        <w:t>江苏省高</w:t>
      </w:r>
      <w:bookmarkStart w:id="0" w:name="_GoBack"/>
      <w:bookmarkEnd w:id="0"/>
      <w:r>
        <w:rPr>
          <w:rFonts w:hint="eastAsia" w:ascii="方正小标宋简体" w:hAnsi="宋体" w:eastAsia="方正小标宋简体" w:cs="黑体"/>
          <w:bCs/>
          <w:w w:val="85"/>
          <w:sz w:val="52"/>
          <w:szCs w:val="52"/>
        </w:rPr>
        <w:t>等职业教育高水平专业群</w:t>
      </w:r>
    </w:p>
    <w:p w14:paraId="63437141">
      <w:pPr>
        <w:jc w:val="center"/>
        <w:rPr>
          <w:rFonts w:ascii="黑体" w:hAnsi="宋体" w:eastAsia="黑体" w:cs="黑体"/>
          <w:b/>
          <w:bCs/>
          <w:w w:val="85"/>
          <w:sz w:val="52"/>
          <w:szCs w:val="52"/>
        </w:rPr>
      </w:pPr>
    </w:p>
    <w:p w14:paraId="7895C751">
      <w:pPr>
        <w:jc w:val="center"/>
        <w:rPr>
          <w:rFonts w:ascii="方正小标宋简体" w:hAnsi="宋体" w:eastAsia="方正小标宋简体" w:cs="方正小标宋简体"/>
          <w:sz w:val="72"/>
          <w:szCs w:val="72"/>
        </w:rPr>
      </w:pPr>
      <w:r>
        <w:rPr>
          <w:rFonts w:hint="eastAsia" w:ascii="黑体" w:hAnsi="黑体" w:eastAsia="黑体" w:cs="黑体"/>
          <w:sz w:val="72"/>
          <w:szCs w:val="72"/>
          <w:lang w:val="en-US" w:eastAsia="zh-CN"/>
        </w:rPr>
        <w:t>期满</w:t>
      </w:r>
      <w:r>
        <w:rPr>
          <w:rFonts w:hint="eastAsia" w:ascii="黑体" w:hAnsi="黑体" w:eastAsia="黑体" w:cs="黑体"/>
          <w:sz w:val="72"/>
          <w:szCs w:val="72"/>
        </w:rPr>
        <w:t>验收自评报告</w:t>
      </w:r>
    </w:p>
    <w:p w14:paraId="11F11EE8">
      <w:pPr>
        <w:spacing w:line="578" w:lineRule="exact"/>
        <w:jc w:val="center"/>
        <w:rPr>
          <w:rFonts w:eastAsia="方正小标宋简体"/>
          <w:sz w:val="44"/>
          <w:szCs w:val="44"/>
        </w:rPr>
      </w:pPr>
    </w:p>
    <w:p w14:paraId="68D4C861">
      <w:pPr>
        <w:jc w:val="left"/>
        <w:rPr>
          <w:rFonts w:ascii="宋体" w:hAnsi="宋体"/>
          <w:sz w:val="24"/>
        </w:rPr>
      </w:pPr>
    </w:p>
    <w:p w14:paraId="25D45A05">
      <w:pPr>
        <w:jc w:val="left"/>
        <w:rPr>
          <w:rFonts w:ascii="宋体" w:hAnsi="宋体"/>
          <w:sz w:val="24"/>
        </w:rPr>
      </w:pPr>
    </w:p>
    <w:p w14:paraId="20BA9840">
      <w:pPr>
        <w:jc w:val="left"/>
        <w:rPr>
          <w:rFonts w:ascii="宋体" w:hAnsi="宋体"/>
          <w:sz w:val="32"/>
          <w:szCs w:val="32"/>
        </w:rPr>
      </w:pPr>
    </w:p>
    <w:tbl>
      <w:tblPr>
        <w:tblStyle w:val="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4903"/>
      </w:tblGrid>
      <w:tr w14:paraId="2ACCC8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2" w:type="dxa"/>
            <w:vAlign w:val="bottom"/>
          </w:tcPr>
          <w:p w14:paraId="2718B802">
            <w:pPr>
              <w:spacing w:before="187" w:line="360" w:lineRule="auto"/>
              <w:jc w:val="distribute"/>
              <w:rPr>
                <w:rFonts w:ascii="方正楷体_GBK" w:hAnsi="方正楷体_GBK" w:eastAsia="方正楷体_GBK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Cs/>
                <w:sz w:val="28"/>
                <w:szCs w:val="28"/>
              </w:rPr>
              <w:t>学校名称</w:t>
            </w:r>
          </w:p>
        </w:tc>
        <w:tc>
          <w:tcPr>
            <w:tcW w:w="4903" w:type="dxa"/>
            <w:tcBorders>
              <w:bottom w:val="single" w:color="auto" w:sz="4" w:space="0"/>
            </w:tcBorders>
          </w:tcPr>
          <w:p w14:paraId="2A826B5A">
            <w:pPr>
              <w:spacing w:before="187" w:line="360" w:lineRule="auto"/>
              <w:jc w:val="left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Cs/>
                <w:sz w:val="28"/>
                <w:szCs w:val="28"/>
              </w:rPr>
              <w:t>（盖章）</w:t>
            </w:r>
          </w:p>
        </w:tc>
      </w:tr>
      <w:tr w14:paraId="0AD165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2" w:type="dxa"/>
            <w:vAlign w:val="bottom"/>
          </w:tcPr>
          <w:p w14:paraId="1E79A5BA">
            <w:pPr>
              <w:spacing w:before="187" w:line="360" w:lineRule="auto"/>
              <w:jc w:val="distribute"/>
              <w:rPr>
                <w:rFonts w:ascii="方正楷体_GBK" w:hAnsi="方正楷体_GBK" w:eastAsia="方正楷体_GBK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Cs/>
                <w:sz w:val="28"/>
                <w:szCs w:val="28"/>
              </w:rPr>
              <w:t>专业群名称</w:t>
            </w:r>
          </w:p>
        </w:tc>
        <w:tc>
          <w:tcPr>
            <w:tcW w:w="4903" w:type="dxa"/>
            <w:tcBorders>
              <w:top w:val="single" w:color="auto" w:sz="4" w:space="0"/>
              <w:bottom w:val="single" w:color="auto" w:sz="4" w:space="0"/>
            </w:tcBorders>
          </w:tcPr>
          <w:p w14:paraId="0AB18271">
            <w:pPr>
              <w:spacing w:before="187" w:line="360" w:lineRule="auto"/>
              <w:jc w:val="left"/>
              <w:rPr>
                <w:rFonts w:ascii="宋体" w:hAnsi="宋体"/>
                <w:sz w:val="32"/>
                <w:szCs w:val="32"/>
              </w:rPr>
            </w:pPr>
          </w:p>
        </w:tc>
      </w:tr>
      <w:tr w14:paraId="71E07D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2" w:type="dxa"/>
            <w:vAlign w:val="bottom"/>
          </w:tcPr>
          <w:p w14:paraId="1DB3A78E">
            <w:pPr>
              <w:spacing w:before="187" w:line="360" w:lineRule="auto"/>
              <w:jc w:val="distribute"/>
              <w:rPr>
                <w:rFonts w:ascii="方正楷体_GBK" w:hAnsi="方正楷体_GBK" w:eastAsia="方正楷体_GBK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Cs/>
                <w:sz w:val="28"/>
                <w:szCs w:val="28"/>
              </w:rPr>
              <w:t>报告日期</w:t>
            </w:r>
          </w:p>
        </w:tc>
        <w:tc>
          <w:tcPr>
            <w:tcW w:w="4903" w:type="dxa"/>
            <w:tcBorders>
              <w:top w:val="single" w:color="auto" w:sz="4" w:space="0"/>
              <w:bottom w:val="single" w:color="auto" w:sz="4" w:space="0"/>
            </w:tcBorders>
          </w:tcPr>
          <w:p w14:paraId="3D5253EC">
            <w:pPr>
              <w:spacing w:before="187" w:line="360" w:lineRule="auto"/>
              <w:jc w:val="left"/>
              <w:rPr>
                <w:rFonts w:ascii="宋体" w:hAnsi="宋体"/>
                <w:sz w:val="32"/>
                <w:szCs w:val="32"/>
              </w:rPr>
            </w:pPr>
          </w:p>
        </w:tc>
      </w:tr>
    </w:tbl>
    <w:p w14:paraId="404C13CF">
      <w:pPr>
        <w:jc w:val="left"/>
        <w:rPr>
          <w:rFonts w:ascii="宋体" w:hAnsi="宋体"/>
          <w:sz w:val="32"/>
          <w:szCs w:val="32"/>
        </w:rPr>
      </w:pPr>
    </w:p>
    <w:p w14:paraId="2C5DD8A6">
      <w:pPr>
        <w:jc w:val="left"/>
        <w:rPr>
          <w:rFonts w:ascii="宋体" w:hAnsi="宋体"/>
          <w:sz w:val="24"/>
        </w:rPr>
      </w:pPr>
    </w:p>
    <w:p w14:paraId="26B885FE">
      <w:pPr>
        <w:jc w:val="left"/>
        <w:rPr>
          <w:rFonts w:ascii="宋体" w:hAnsi="宋体"/>
          <w:sz w:val="24"/>
        </w:rPr>
      </w:pPr>
    </w:p>
    <w:p w14:paraId="3627E156">
      <w:pPr>
        <w:spacing w:before="187" w:line="360" w:lineRule="auto"/>
        <w:jc w:val="center"/>
        <w:rPr>
          <w:rFonts w:ascii="黑体" w:hAnsi="黑体" w:eastAsia="黑体"/>
          <w:sz w:val="28"/>
          <w:szCs w:val="28"/>
        </w:rPr>
      </w:pPr>
    </w:p>
    <w:p w14:paraId="3630112B">
      <w:pPr>
        <w:jc w:val="center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江苏省教育厅制</w:t>
      </w:r>
    </w:p>
    <w:p w14:paraId="0CFA93C8">
      <w:pPr>
        <w:jc w:val="center"/>
        <w:rPr>
          <w:rFonts w:ascii="宋体" w:hAnsi="宋体" w:eastAsia="楷体_GB2312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2024年</w:t>
      </w:r>
      <w:r>
        <w:rPr>
          <w:rFonts w:hint="eastAsia" w:ascii="楷体" w:hAnsi="楷体" w:eastAsia="楷体" w:cs="楷体_GB2312"/>
          <w:bCs/>
          <w:sz w:val="32"/>
          <w:szCs w:val="32"/>
          <w:lang w:val="en-US" w:eastAsia="zh-CN"/>
        </w:rPr>
        <w:t>9</w:t>
      </w:r>
      <w:r>
        <w:rPr>
          <w:rFonts w:hint="eastAsia" w:ascii="楷体" w:hAnsi="楷体" w:eastAsia="楷体" w:cs="楷体_GB2312"/>
          <w:bCs/>
          <w:sz w:val="32"/>
          <w:szCs w:val="32"/>
        </w:rPr>
        <w:t>月</w:t>
      </w:r>
      <w:r>
        <w:rPr>
          <w:rFonts w:hint="eastAsia" w:ascii="宋体" w:hAnsi="宋体" w:eastAsia="楷体_GB2312" w:cs="楷体_GB2312"/>
          <w:bCs/>
          <w:sz w:val="32"/>
          <w:szCs w:val="32"/>
        </w:rPr>
        <w:br w:type="page"/>
      </w:r>
    </w:p>
    <w:p w14:paraId="29F78131">
      <w:pPr>
        <w:jc w:val="center"/>
        <w:rPr>
          <w:rFonts w:ascii="宋体" w:hAnsi="宋体" w:eastAsia="楷体_GB2312" w:cs="楷体_GB2312"/>
          <w:bCs/>
          <w:sz w:val="32"/>
          <w:szCs w:val="32"/>
        </w:rPr>
      </w:pPr>
    </w:p>
    <w:p w14:paraId="7668784B">
      <w:pPr>
        <w:jc w:val="center"/>
        <w:rPr>
          <w:rFonts w:eastAsia="楷体_GB2312"/>
          <w:sz w:val="32"/>
          <w:szCs w:val="32"/>
        </w:rPr>
      </w:pPr>
      <w:r>
        <w:rPr>
          <w:rFonts w:hint="eastAsia" w:ascii="宋体" w:hAnsi="宋体" w:eastAsia="楷体_GB2312" w:cs="楷体_GB2312"/>
          <w:bCs/>
          <w:sz w:val="32"/>
          <w:szCs w:val="32"/>
        </w:rPr>
        <w:t>××</w:t>
      </w:r>
      <w:r>
        <w:rPr>
          <w:rFonts w:hint="eastAsia" w:eastAsia="方正小标宋简体"/>
          <w:sz w:val="44"/>
          <w:szCs w:val="44"/>
        </w:rPr>
        <w:t>学院</w:t>
      </w:r>
      <w:r>
        <w:rPr>
          <w:rFonts w:hint="eastAsia" w:ascii="宋体" w:hAnsi="宋体" w:eastAsia="楷体_GB2312" w:cs="楷体_GB2312"/>
          <w:bCs/>
          <w:sz w:val="32"/>
          <w:szCs w:val="32"/>
        </w:rPr>
        <w:t>××</w:t>
      </w:r>
      <w:r>
        <w:rPr>
          <w:rFonts w:hint="eastAsia" w:eastAsia="方正小标宋简体"/>
          <w:sz w:val="44"/>
          <w:szCs w:val="44"/>
        </w:rPr>
        <w:t>专业群验收自评报告</w:t>
      </w:r>
      <w:r>
        <w:rPr>
          <w:rFonts w:eastAsia="方正小标宋简体"/>
          <w:sz w:val="44"/>
          <w:szCs w:val="44"/>
        </w:rPr>
        <w:t>（</w:t>
      </w:r>
      <w:r>
        <w:rPr>
          <w:rFonts w:hint="eastAsia" w:eastAsia="方正小标宋简体"/>
          <w:sz w:val="44"/>
          <w:szCs w:val="44"/>
        </w:rPr>
        <w:t>模版</w:t>
      </w:r>
      <w:r>
        <w:rPr>
          <w:rFonts w:eastAsia="方正小标宋简体"/>
          <w:sz w:val="44"/>
          <w:szCs w:val="44"/>
        </w:rPr>
        <w:t>）</w:t>
      </w:r>
    </w:p>
    <w:p w14:paraId="68AADFF6">
      <w:pPr>
        <w:spacing w:line="578" w:lineRule="exact"/>
        <w:jc w:val="center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（报告总字数控制在</w:t>
      </w:r>
      <w:r>
        <w:rPr>
          <w:rFonts w:hint="eastAsia" w:eastAsia="楷体_GB2312"/>
          <w:sz w:val="32"/>
          <w:szCs w:val="32"/>
        </w:rPr>
        <w:t>8</w:t>
      </w:r>
      <w:r>
        <w:rPr>
          <w:rFonts w:eastAsia="楷体_GB2312"/>
          <w:sz w:val="32"/>
          <w:szCs w:val="32"/>
        </w:rPr>
        <w:t>000字以内）</w:t>
      </w:r>
    </w:p>
    <w:p w14:paraId="1D09FD1A">
      <w:pPr>
        <w:spacing w:line="578" w:lineRule="exact"/>
        <w:ind w:firstLine="640" w:firstLineChars="200"/>
        <w:rPr>
          <w:rFonts w:eastAsia="黑体"/>
          <w:sz w:val="32"/>
          <w:szCs w:val="32"/>
        </w:rPr>
      </w:pPr>
    </w:p>
    <w:p w14:paraId="04AC37D4">
      <w:pPr>
        <w:spacing w:line="578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</w:rPr>
        <w:t>学校</w:t>
      </w:r>
      <w:r>
        <w:rPr>
          <w:rFonts w:eastAsia="黑体"/>
          <w:sz w:val="32"/>
          <w:szCs w:val="32"/>
        </w:rPr>
        <w:t>推进</w:t>
      </w:r>
      <w:r>
        <w:rPr>
          <w:rFonts w:hint="eastAsia" w:eastAsia="黑体"/>
          <w:sz w:val="32"/>
          <w:szCs w:val="32"/>
        </w:rPr>
        <w:t>省高水平专业群</w:t>
      </w:r>
      <w:r>
        <w:rPr>
          <w:rFonts w:eastAsia="黑体"/>
          <w:sz w:val="32"/>
          <w:szCs w:val="32"/>
        </w:rPr>
        <w:t>建设的情况</w:t>
      </w:r>
    </w:p>
    <w:p w14:paraId="7A4B94C7">
      <w:pPr>
        <w:spacing w:line="578" w:lineRule="exact"/>
        <w:ind w:firstLine="592" w:firstLineChars="200"/>
        <w:rPr>
          <w:rFonts w:ascii="楷体_GB2312" w:hAnsi="楷体_GB2312" w:eastAsia="楷体_GB2312" w:cs="楷体_GB2312"/>
          <w:spacing w:val="-12"/>
          <w:sz w:val="32"/>
          <w:szCs w:val="32"/>
        </w:rPr>
      </w:pPr>
      <w:r>
        <w:rPr>
          <w:rFonts w:ascii="楷体_GB2312" w:hAnsi="楷体_GB2312" w:eastAsia="楷体_GB2312" w:cs="楷体_GB2312"/>
          <w:spacing w:val="-12"/>
          <w:sz w:val="32"/>
          <w:szCs w:val="32"/>
        </w:rPr>
        <w:t>（一）</w:t>
      </w:r>
      <w:r>
        <w:rPr>
          <w:rFonts w:hint="eastAsia" w:ascii="楷体_GB2312" w:hAnsi="楷体_GB2312" w:eastAsia="楷体_GB2312" w:cs="楷体_GB2312"/>
          <w:spacing w:val="-12"/>
          <w:sz w:val="32"/>
          <w:szCs w:val="32"/>
        </w:rPr>
        <w:t>学校推进省高水平专业群</w:t>
      </w:r>
      <w:r>
        <w:rPr>
          <w:rFonts w:ascii="楷体_GB2312" w:hAnsi="楷体_GB2312" w:eastAsia="楷体_GB2312" w:cs="楷体_GB2312"/>
          <w:spacing w:val="-12"/>
          <w:sz w:val="32"/>
          <w:szCs w:val="32"/>
        </w:rPr>
        <w:t>建设的总体情况和工作机制</w:t>
      </w:r>
    </w:p>
    <w:p w14:paraId="08D23BF6">
      <w:pPr>
        <w:spacing w:line="578" w:lineRule="exact"/>
        <w:ind w:firstLine="592" w:firstLineChars="200"/>
        <w:rPr>
          <w:rFonts w:ascii="楷体_GB2312" w:hAnsi="楷体_GB2312" w:eastAsia="楷体_GB2312" w:cs="楷体_GB2312"/>
          <w:spacing w:val="-12"/>
          <w:sz w:val="32"/>
          <w:szCs w:val="32"/>
        </w:rPr>
      </w:pPr>
      <w:r>
        <w:rPr>
          <w:rFonts w:ascii="楷体_GB2312" w:hAnsi="楷体_GB2312" w:eastAsia="楷体_GB2312" w:cs="楷体_GB2312"/>
          <w:spacing w:val="-1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pacing w:val="-12"/>
          <w:sz w:val="32"/>
          <w:szCs w:val="32"/>
        </w:rPr>
        <w:t>二</w:t>
      </w:r>
      <w:r>
        <w:rPr>
          <w:rFonts w:ascii="楷体_GB2312" w:hAnsi="楷体_GB2312" w:eastAsia="楷体_GB2312" w:cs="楷体_GB2312"/>
          <w:spacing w:val="-12"/>
          <w:sz w:val="32"/>
          <w:szCs w:val="32"/>
        </w:rPr>
        <w:t>）</w:t>
      </w:r>
      <w:r>
        <w:rPr>
          <w:rFonts w:hint="eastAsia" w:ascii="楷体_GB2312" w:hAnsi="楷体_GB2312" w:eastAsia="楷体_GB2312" w:cs="楷体_GB2312"/>
          <w:spacing w:val="-12"/>
          <w:sz w:val="32"/>
          <w:szCs w:val="32"/>
        </w:rPr>
        <w:t>学校推进省高水平专业群</w:t>
      </w:r>
      <w:r>
        <w:rPr>
          <w:rFonts w:ascii="楷体_GB2312" w:hAnsi="楷体_GB2312" w:eastAsia="楷体_GB2312" w:cs="楷体_GB2312"/>
          <w:spacing w:val="-12"/>
          <w:sz w:val="32"/>
          <w:szCs w:val="32"/>
        </w:rPr>
        <w:t>建设的政策支持和实施情况</w:t>
      </w:r>
    </w:p>
    <w:p w14:paraId="5B7F1BC7">
      <w:pPr>
        <w:spacing w:line="578" w:lineRule="exact"/>
        <w:ind w:firstLine="592" w:firstLineChars="200"/>
        <w:rPr>
          <w:rFonts w:ascii="楷体_GB2312" w:hAnsi="楷体_GB2312" w:eastAsia="楷体_GB2312" w:cs="楷体_GB2312"/>
          <w:spacing w:val="-12"/>
          <w:sz w:val="32"/>
          <w:szCs w:val="32"/>
        </w:rPr>
      </w:pPr>
      <w:r>
        <w:rPr>
          <w:rFonts w:ascii="楷体_GB2312" w:hAnsi="楷体_GB2312" w:eastAsia="楷体_GB2312" w:cs="楷体_GB2312"/>
          <w:spacing w:val="-12"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spacing w:val="-12"/>
          <w:sz w:val="32"/>
          <w:szCs w:val="32"/>
        </w:rPr>
        <w:t>学校推进省高水平专业群</w:t>
      </w:r>
      <w:r>
        <w:rPr>
          <w:rFonts w:ascii="楷体_GB2312" w:hAnsi="楷体_GB2312" w:eastAsia="楷体_GB2312" w:cs="楷体_GB2312"/>
          <w:spacing w:val="-12"/>
          <w:sz w:val="32"/>
          <w:szCs w:val="32"/>
        </w:rPr>
        <w:t>建设的资金支持和执行情况</w:t>
      </w:r>
    </w:p>
    <w:p w14:paraId="5591E7A4">
      <w:pPr>
        <w:spacing w:line="578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二、省高水平专业群建设绩效分析</w:t>
      </w:r>
    </w:p>
    <w:p w14:paraId="5DAF2BB2">
      <w:pPr>
        <w:spacing w:line="578" w:lineRule="exact"/>
        <w:ind w:firstLine="592" w:firstLineChars="200"/>
        <w:rPr>
          <w:rFonts w:ascii="楷体_GB2312" w:hAnsi="楷体_GB2312" w:eastAsia="楷体_GB2312" w:cs="楷体_GB2312"/>
          <w:spacing w:val="-12"/>
          <w:sz w:val="32"/>
          <w:szCs w:val="32"/>
        </w:rPr>
      </w:pPr>
      <w:r>
        <w:rPr>
          <w:rFonts w:hint="eastAsia" w:ascii="楷体_GB2312" w:hAnsi="楷体_GB2312" w:eastAsia="楷体_GB2312" w:cs="楷体_GB2312"/>
          <w:spacing w:val="-12"/>
          <w:sz w:val="32"/>
          <w:szCs w:val="32"/>
        </w:rPr>
        <w:t>（一）产出情况（围绕</w:t>
      </w:r>
      <w:r>
        <w:rPr>
          <w:rFonts w:hint="eastAsia" w:ascii="楷体_GB2312" w:hAnsi="楷体_GB2312" w:eastAsia="楷体_GB2312" w:cs="楷体_GB2312"/>
          <w:spacing w:val="-12"/>
          <w:sz w:val="32"/>
          <w:szCs w:val="32"/>
          <w:lang w:val="en-US" w:eastAsia="zh-CN"/>
        </w:rPr>
        <w:t>立德树人机制完善、</w:t>
      </w:r>
      <w:r>
        <w:rPr>
          <w:rFonts w:hint="eastAsia" w:ascii="楷体_GB2312" w:hAnsi="楷体_GB2312" w:eastAsia="楷体_GB2312" w:cs="楷体_GB2312"/>
          <w:spacing w:val="-12"/>
          <w:sz w:val="32"/>
          <w:szCs w:val="32"/>
        </w:rPr>
        <w:t>人才培养模式创新、课程教学资源建设、教材与教法改革、教师教学创新团队、产教融合平台建设、服务发展能力提升、管理体制和运行机制等任务，对立项专业群的完成进度、绩效指标产出数量和质量等方面进行总结自评，突出各项任务获得的标志性成果与成效）</w:t>
      </w:r>
    </w:p>
    <w:p w14:paraId="3CF67547">
      <w:pPr>
        <w:spacing w:line="578" w:lineRule="exact"/>
        <w:ind w:firstLine="592" w:firstLineChars="200"/>
        <w:rPr>
          <w:rFonts w:ascii="仿宋_GB2312" w:hAnsi="等线"/>
          <w:szCs w:val="22"/>
          <w:highlight w:val="none"/>
        </w:rPr>
      </w:pPr>
      <w:r>
        <w:rPr>
          <w:rFonts w:hint="eastAsia" w:ascii="楷体_GB2312" w:hAnsi="楷体_GB2312" w:eastAsia="楷体_GB2312" w:cs="楷体_GB2312"/>
          <w:spacing w:val="-12"/>
          <w:sz w:val="32"/>
          <w:szCs w:val="32"/>
          <w:highlight w:val="none"/>
        </w:rPr>
        <w:t>（二）贡献度</w:t>
      </w:r>
      <w:r>
        <w:rPr>
          <w:rFonts w:hint="eastAsia" w:ascii="楷体_GB2312" w:hAnsi="楷体_GB2312" w:eastAsia="楷体_GB2312" w:cs="楷体_GB2312"/>
          <w:spacing w:val="-12"/>
          <w:sz w:val="32"/>
          <w:szCs w:val="32"/>
          <w:highlight w:val="none"/>
          <w:lang w:val="en-US" w:eastAsia="zh-CN"/>
        </w:rPr>
        <w:t>及标志性成果</w:t>
      </w:r>
      <w:r>
        <w:rPr>
          <w:rFonts w:hint="eastAsia" w:ascii="楷体_GB2312" w:hAnsi="楷体_GB2312" w:eastAsia="楷体_GB2312" w:cs="楷体_GB2312"/>
          <w:spacing w:val="-12"/>
          <w:sz w:val="32"/>
          <w:szCs w:val="32"/>
          <w:highlight w:val="none"/>
        </w:rPr>
        <w:t>情况（</w:t>
      </w:r>
      <w:r>
        <w:rPr>
          <w:rFonts w:hint="eastAsia" w:ascii="楷体_GB2312" w:hAnsi="楷体_GB2312" w:eastAsia="楷体_GB2312" w:cs="楷体_GB2312"/>
          <w:spacing w:val="-12"/>
          <w:sz w:val="32"/>
          <w:szCs w:val="32"/>
          <w:highlight w:val="none"/>
          <w:lang w:val="en-US" w:eastAsia="zh-CN"/>
        </w:rPr>
        <w:t>需涵盖立项申报时的标志性成果，可</w:t>
      </w:r>
      <w:r>
        <w:rPr>
          <w:rFonts w:hint="eastAsia" w:ascii="楷体_GB2312" w:hAnsi="楷体_GB2312" w:eastAsia="楷体_GB2312" w:cs="楷体_GB2312"/>
          <w:spacing w:val="-12"/>
          <w:sz w:val="32"/>
          <w:szCs w:val="32"/>
          <w:highlight w:val="none"/>
        </w:rPr>
        <w:t>从社会效益、可持续影响等方面总结自评，突出专业群在引领国内同类专业建设，服务国家战略新兴产业、区域支柱产业发展，资源、标准和平台建设等方面</w:t>
      </w:r>
      <w:r>
        <w:rPr>
          <w:rFonts w:hint="eastAsia" w:ascii="楷体_GB2312" w:hAnsi="楷体_GB2312" w:eastAsia="楷体_GB2312" w:cs="楷体_GB2312"/>
          <w:spacing w:val="-12"/>
          <w:sz w:val="32"/>
          <w:szCs w:val="32"/>
          <w:highlight w:val="none"/>
          <w:lang w:val="en-US" w:eastAsia="zh-CN"/>
        </w:rPr>
        <w:t>补充</w:t>
      </w:r>
      <w:r>
        <w:rPr>
          <w:rFonts w:hint="eastAsia" w:ascii="楷体_GB2312" w:hAnsi="楷体_GB2312" w:eastAsia="楷体_GB2312" w:cs="楷体_GB2312"/>
          <w:spacing w:val="-12"/>
          <w:sz w:val="32"/>
          <w:szCs w:val="32"/>
          <w:highlight w:val="none"/>
        </w:rPr>
        <w:t>获得的进展与成效）</w:t>
      </w:r>
    </w:p>
    <w:p w14:paraId="5DBBD601">
      <w:pPr>
        <w:spacing w:line="578" w:lineRule="exact"/>
        <w:ind w:firstLine="592" w:firstLineChars="200"/>
        <w:rPr>
          <w:rFonts w:ascii="楷体_GB2312" w:hAnsi="楷体_GB2312" w:eastAsia="楷体_GB2312" w:cs="楷体_GB2312"/>
          <w:spacing w:val="-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pacing w:val="-12"/>
          <w:sz w:val="32"/>
          <w:szCs w:val="32"/>
          <w:highlight w:val="none"/>
        </w:rPr>
        <w:t>（三）社会认可度情况（围绕毕业生就业率</w:t>
      </w:r>
      <w:r>
        <w:rPr>
          <w:rFonts w:hint="eastAsia" w:ascii="楷体_GB2312" w:hAnsi="楷体_GB2312" w:eastAsia="楷体_GB2312" w:cs="楷体_GB2312"/>
          <w:spacing w:val="-12"/>
          <w:sz w:val="32"/>
          <w:szCs w:val="32"/>
          <w:highlight w:val="none"/>
          <w:lang w:eastAsia="zh-CN"/>
        </w:rPr>
        <w:t>、毕业生对口就业率、承担职业培训人数、</w:t>
      </w:r>
      <w:r>
        <w:rPr>
          <w:rFonts w:hint="eastAsia" w:ascii="楷体_GB2312" w:hAnsi="楷体_GB2312" w:eastAsia="楷体_GB2312" w:cs="楷体_GB2312"/>
          <w:spacing w:val="-12"/>
          <w:sz w:val="32"/>
          <w:szCs w:val="32"/>
          <w:highlight w:val="none"/>
        </w:rPr>
        <w:t>在校生满意度、毕业生满意度、教职工满意度、用人单位满意度、家长满意度等角度，对专业群内相关专业进行评价）。</w:t>
      </w:r>
    </w:p>
    <w:p w14:paraId="36B5E179">
      <w:pPr>
        <w:spacing w:line="578" w:lineRule="exact"/>
        <w:ind w:firstLine="640" w:firstLineChars="200"/>
        <w:rPr>
          <w:rFonts w:ascii="楷体_GB2312" w:hAnsi="楷体_GB2312" w:eastAsia="楷体_GB2312" w:cs="楷体_GB2312"/>
          <w:spacing w:val="-12"/>
          <w:sz w:val="32"/>
          <w:szCs w:val="32"/>
        </w:rPr>
      </w:pPr>
      <w:r>
        <w:rPr>
          <w:rFonts w:hint="eastAsia" w:eastAsia="黑体"/>
          <w:sz w:val="32"/>
          <w:szCs w:val="32"/>
        </w:rPr>
        <w:t>三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省高水平专业群建设经验与成效</w:t>
      </w:r>
    </w:p>
    <w:p w14:paraId="613A379B">
      <w:pPr>
        <w:spacing w:line="578" w:lineRule="exact"/>
        <w:ind w:firstLine="640" w:firstLineChars="200"/>
        <w:rPr>
          <w:rFonts w:eastAsia="黑体"/>
          <w:color w:val="0066FF"/>
          <w:sz w:val="32"/>
          <w:szCs w:val="32"/>
        </w:rPr>
      </w:pPr>
      <w:r>
        <w:rPr>
          <w:rFonts w:hint="eastAsia" w:eastAsia="黑体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、问题与下一步工作考虑</w:t>
      </w:r>
    </w:p>
    <w:p w14:paraId="1A914044">
      <w:pPr>
        <w:pStyle w:val="2"/>
        <w:spacing w:after="0" w:line="578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</w:t>
      </w:r>
      <w:r>
        <w:rPr>
          <w:rFonts w:hint="eastAsia" w:eastAsia="楷体_GB2312"/>
          <w:sz w:val="32"/>
          <w:szCs w:val="32"/>
        </w:rPr>
        <w:t>一</w:t>
      </w:r>
      <w:r>
        <w:rPr>
          <w:rFonts w:eastAsia="楷体_GB2312"/>
          <w:sz w:val="32"/>
          <w:szCs w:val="32"/>
        </w:rPr>
        <w:t>）</w:t>
      </w:r>
      <w:r>
        <w:rPr>
          <w:rFonts w:hint="eastAsia" w:eastAsia="楷体_GB2312"/>
          <w:sz w:val="32"/>
          <w:szCs w:val="32"/>
        </w:rPr>
        <w:t>专业群建设</w:t>
      </w:r>
      <w:r>
        <w:rPr>
          <w:rFonts w:eastAsia="楷体_GB2312"/>
          <w:sz w:val="32"/>
          <w:szCs w:val="32"/>
        </w:rPr>
        <w:t>不足及成因</w:t>
      </w:r>
    </w:p>
    <w:p w14:paraId="48641BC3">
      <w:pPr>
        <w:pStyle w:val="2"/>
        <w:spacing w:after="0" w:line="578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</w:t>
      </w:r>
      <w:r>
        <w:rPr>
          <w:rFonts w:hint="eastAsia" w:eastAsia="楷体_GB2312"/>
          <w:sz w:val="32"/>
          <w:szCs w:val="32"/>
        </w:rPr>
        <w:t>二</w:t>
      </w:r>
      <w:r>
        <w:rPr>
          <w:rFonts w:eastAsia="楷体_GB2312"/>
          <w:sz w:val="32"/>
          <w:szCs w:val="32"/>
        </w:rPr>
        <w:t>）下一步工作考虑</w:t>
      </w:r>
    </w:p>
    <w:p w14:paraId="1B4A480F">
      <w:pPr>
        <w:spacing w:line="578" w:lineRule="exact"/>
      </w:pPr>
    </w:p>
    <w:sectPr>
      <w:footerReference r:id="rId3" w:type="default"/>
      <w:pgSz w:w="11906" w:h="16838"/>
      <w:pgMar w:top="2098" w:right="1531" w:bottom="1985" w:left="1531" w:header="851" w:footer="992" w:gutter="0"/>
      <w:pgNumType w:fmt="numberInDash"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6B9E188-984F-42F0-A0CF-CBD80557519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29C598F5-5778-4156-8A4D-E3FE7DF4E4EA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71A8EC14-E2EA-4D6B-AFC8-92054B966B4C}"/>
  </w:font>
  <w:font w:name="方正楷体_GBK">
    <w:panose1 w:val="02000000000000000000"/>
    <w:charset w:val="86"/>
    <w:family w:val="script"/>
    <w:pitch w:val="default"/>
    <w:sig w:usb0="800002BF" w:usb1="38CF7CFA" w:usb2="00000016" w:usb3="00000000" w:csb0="00040000" w:csb1="00000000"/>
    <w:embedRegular r:id="rId4" w:fontKey="{9F8D1903-1A56-47DE-98E7-CE3DB755833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A6860616-88B9-47A2-893E-29DDF6753202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EE20BDC9-AE6D-49E4-9ED8-CB770069813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5459D53B-4081-4D93-9F7E-F677A989AB8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8" w:fontKey="{4E9A072D-2DE1-418B-AAC9-8F3F9A7EDA8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A14A39">
    <w:pPr>
      <w:pStyle w:val="4"/>
      <w:rPr>
        <w:rFonts w:ascii="仿宋_GB2312" w:eastAsia="仿宋_GB2312"/>
        <w:sz w:val="28"/>
        <w:szCs w:val="28"/>
      </w:rPr>
    </w:pPr>
    <w:sdt>
      <w:sdtPr>
        <w:id w:val="-1388259312"/>
        <w:docPartObj>
          <w:docPartGallery w:val="autotext"/>
        </w:docPartObj>
      </w:sdtPr>
      <w:sdtEndPr>
        <w:rPr>
          <w:rFonts w:hint="eastAsia" w:ascii="仿宋_GB2312" w:eastAsia="仿宋_GB2312"/>
          <w:sz w:val="28"/>
          <w:szCs w:val="28"/>
        </w:rPr>
      </w:sdtEndPr>
      <w:sdtContent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hint="eastAsia" w:ascii="仿宋_GB2312" w:eastAsia="仿宋_GB2312"/>
            <w:sz w:val="28"/>
            <w:szCs w:val="28"/>
            <w:lang w:val="zh-CN"/>
          </w:rPr>
          <w:t>2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3ZTdmNmQzMzkzZjJkNDkzMDY1MjE1ZDZlYWIyNjEifQ=="/>
  </w:docVars>
  <w:rsids>
    <w:rsidRoot w:val="006C12D6"/>
    <w:rsid w:val="00054D02"/>
    <w:rsid w:val="005B69C5"/>
    <w:rsid w:val="005E4A0E"/>
    <w:rsid w:val="006C12D6"/>
    <w:rsid w:val="00724B0C"/>
    <w:rsid w:val="009D5900"/>
    <w:rsid w:val="00A8050E"/>
    <w:rsid w:val="00E34508"/>
    <w:rsid w:val="092C5E91"/>
    <w:rsid w:val="102869DB"/>
    <w:rsid w:val="22394A78"/>
    <w:rsid w:val="2C8C1235"/>
    <w:rsid w:val="3ACF49A4"/>
    <w:rsid w:val="44716961"/>
    <w:rsid w:val="44882E25"/>
    <w:rsid w:val="47917EE8"/>
    <w:rsid w:val="4B5A0D90"/>
    <w:rsid w:val="4DBC0187"/>
    <w:rsid w:val="58366D88"/>
    <w:rsid w:val="5FB52C88"/>
    <w:rsid w:val="612858B9"/>
    <w:rsid w:val="662A0427"/>
    <w:rsid w:val="7517323A"/>
    <w:rsid w:val="7A0C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Date"/>
    <w:basedOn w:val="1"/>
    <w:next w:val="1"/>
    <w:link w:val="10"/>
    <w:qFormat/>
    <w:uiPriority w:val="0"/>
    <w:pPr>
      <w:ind w:left="100" w:leftChars="2500"/>
    </w:pPr>
  </w:style>
  <w:style w:type="paragraph" w:styleId="4">
    <w:name w:val="footer"/>
    <w:basedOn w:val="1"/>
    <w:link w:val="9"/>
    <w:autoRedefine/>
    <w:qFormat/>
    <w:uiPriority w:val="99"/>
    <w:pPr>
      <w:tabs>
        <w:tab w:val="center" w:pos="4153"/>
        <w:tab w:val="center" w:pos="4422"/>
        <w:tab w:val="left" w:pos="5655"/>
        <w:tab w:val="right" w:pos="8306"/>
      </w:tabs>
      <w:snapToGrid w:val="0"/>
      <w:jc w:val="center"/>
    </w:pPr>
    <w:rPr>
      <w:sz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rFonts w:ascii="Times New Roman" w:hAnsi="Times New Roman" w:eastAsia="宋体" w:cs="Times New Roman"/>
      <w:kern w:val="2"/>
      <w:sz w:val="18"/>
      <w:szCs w:val="24"/>
    </w:rPr>
  </w:style>
  <w:style w:type="character" w:customStyle="1" w:styleId="10">
    <w:name w:val="日期 字符"/>
    <w:basedOn w:val="7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585</Words>
  <Characters>591</Characters>
  <Lines>4</Lines>
  <Paragraphs>1</Paragraphs>
  <TotalTime>0</TotalTime>
  <ScaleCrop>false</ScaleCrop>
  <LinksUpToDate>false</LinksUpToDate>
  <CharactersWithSpaces>591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53391</dc:creator>
  <cp:lastModifiedBy>adm</cp:lastModifiedBy>
  <dcterms:modified xsi:type="dcterms:W3CDTF">2024-09-30T08:44:42Z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1995EEEE813A483D953BA1018DE9F7CF_12</vt:lpwstr>
  </property>
</Properties>
</file>